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DB" w:rsidRPr="00BE2539" w:rsidRDefault="008C20DB" w:rsidP="008C20DB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GB"/>
        </w:rPr>
      </w:pPr>
      <w:bookmarkStart w:id="0" w:name="_GoBack"/>
      <w:bookmarkEnd w:id="0"/>
      <w:r w:rsidRPr="0038757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W</w:t>
      </w:r>
      <w:r w:rsidRPr="00BE2539">
        <w:rPr>
          <w:rFonts w:ascii="Times New Roman" w:hAnsi="Times New Roman" w:cs="Times New Roman"/>
          <w:b/>
          <w:noProof/>
          <w:sz w:val="28"/>
          <w:szCs w:val="28"/>
          <w:lang w:val="en-GB"/>
        </w:rPr>
        <w:t>e vs. They: the sense of national identity in Britain</w:t>
      </w:r>
    </w:p>
    <w:p w:rsidR="00EB0E00" w:rsidRDefault="004928EF" w:rsidP="0038757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The e</w:t>
      </w:r>
      <w:r w:rsidR="00C45A03"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nd of</w:t>
      </w:r>
      <w:r w:rsidR="00CD31F1"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the</w:t>
      </w:r>
      <w:r w:rsidR="00C45A03"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Great War marked </w:t>
      </w:r>
      <w:r w:rsidR="00CD31F1"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a</w:t>
      </w:r>
      <w:r w:rsidR="00A276EE">
        <w:rPr>
          <w:rFonts w:ascii="Times New Roman" w:hAnsi="Times New Roman" w:cs="Times New Roman"/>
          <w:sz w:val="24"/>
          <w:szCs w:val="24"/>
          <w:lang w:val="en-GB"/>
        </w:rPr>
        <w:t xml:space="preserve"> new</w:t>
      </w:r>
      <w:r w:rsidR="00CD31F1">
        <w:rPr>
          <w:rFonts w:ascii="Times New Roman" w:hAnsi="Times New Roman" w:cs="Times New Roman"/>
          <w:sz w:val="24"/>
          <w:szCs w:val="24"/>
          <w:lang w:val="en-GB"/>
        </w:rPr>
        <w:t xml:space="preserve"> beginning in the history of the Old Continent. </w:t>
      </w:r>
      <w:r w:rsidR="002265A5">
        <w:rPr>
          <w:rFonts w:ascii="Times New Roman" w:hAnsi="Times New Roman" w:cs="Times New Roman"/>
          <w:sz w:val="24"/>
          <w:szCs w:val="24"/>
          <w:lang w:val="en-GB"/>
        </w:rPr>
        <w:t>The long-time r</w:t>
      </w:r>
      <w:r w:rsidR="00ED7597">
        <w:rPr>
          <w:rFonts w:ascii="Times New Roman" w:hAnsi="Times New Roman" w:cs="Times New Roman"/>
          <w:sz w:val="24"/>
          <w:szCs w:val="24"/>
          <w:lang w:val="en-GB"/>
        </w:rPr>
        <w:t>ivalry between imperial powers</w:t>
      </w:r>
      <w:r w:rsidR="002053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4B3C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05352">
        <w:rPr>
          <w:rFonts w:ascii="Times New Roman" w:hAnsi="Times New Roman" w:cs="Times New Roman"/>
          <w:sz w:val="24"/>
          <w:szCs w:val="24"/>
          <w:lang w:val="en-GB"/>
        </w:rPr>
        <w:t xml:space="preserve"> Europe</w:t>
      </w:r>
      <w:r w:rsidR="00C22394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="00AC4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5352">
        <w:rPr>
          <w:rFonts w:ascii="Times New Roman" w:hAnsi="Times New Roman" w:cs="Times New Roman"/>
          <w:sz w:val="24"/>
          <w:szCs w:val="24"/>
          <w:lang w:val="en-GB"/>
        </w:rPr>
        <w:t>sparked the greatest armed conflict of that time</w:t>
      </w:r>
      <w:r w:rsidR="00AC4B3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276EE">
        <w:rPr>
          <w:rFonts w:ascii="Times New Roman" w:hAnsi="Times New Roman" w:cs="Times New Roman"/>
          <w:sz w:val="24"/>
          <w:szCs w:val="24"/>
          <w:lang w:val="en-GB"/>
        </w:rPr>
        <w:t>ultimately</w:t>
      </w:r>
      <w:r w:rsidR="00AC4B3C">
        <w:rPr>
          <w:rFonts w:ascii="Times New Roman" w:hAnsi="Times New Roman" w:cs="Times New Roman"/>
          <w:sz w:val="24"/>
          <w:szCs w:val="24"/>
          <w:lang w:val="en-GB"/>
        </w:rPr>
        <w:t xml:space="preserve"> led to their collapse.</w:t>
      </w:r>
      <w:r w:rsidR="00CB4637">
        <w:rPr>
          <w:rFonts w:ascii="Times New Roman" w:hAnsi="Times New Roman" w:cs="Times New Roman"/>
          <w:sz w:val="24"/>
          <w:szCs w:val="24"/>
          <w:lang w:val="en-GB"/>
        </w:rPr>
        <w:t xml:space="preserve"> In the wake of the war,</w:t>
      </w:r>
      <w:r w:rsidR="00AC4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036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276EE">
        <w:rPr>
          <w:rFonts w:ascii="Times New Roman" w:hAnsi="Times New Roman" w:cs="Times New Roman"/>
          <w:sz w:val="24"/>
          <w:szCs w:val="24"/>
          <w:lang w:val="en-GB"/>
        </w:rPr>
        <w:t>mpires, being assembled over hundreds of years</w:t>
      </w:r>
      <w:r w:rsidR="00CB4637">
        <w:rPr>
          <w:rFonts w:ascii="Times New Roman" w:hAnsi="Times New Roman" w:cs="Times New Roman"/>
          <w:sz w:val="24"/>
          <w:szCs w:val="24"/>
          <w:lang w:val="en-GB"/>
        </w:rPr>
        <w:t xml:space="preserve"> by subjugating </w:t>
      </w:r>
      <w:r w:rsidR="002265A5">
        <w:rPr>
          <w:rFonts w:ascii="Times New Roman" w:hAnsi="Times New Roman" w:cs="Times New Roman"/>
          <w:sz w:val="24"/>
          <w:szCs w:val="24"/>
          <w:lang w:val="en-GB"/>
        </w:rPr>
        <w:t xml:space="preserve">foreign lands and </w:t>
      </w:r>
      <w:r w:rsidR="0053558A">
        <w:rPr>
          <w:rFonts w:ascii="Times New Roman" w:hAnsi="Times New Roman" w:cs="Times New Roman"/>
          <w:sz w:val="24"/>
          <w:szCs w:val="24"/>
          <w:lang w:val="en-GB"/>
        </w:rPr>
        <w:t>different</w:t>
      </w:r>
      <w:r w:rsidR="002265A5">
        <w:rPr>
          <w:rFonts w:ascii="Times New Roman" w:hAnsi="Times New Roman" w:cs="Times New Roman"/>
          <w:sz w:val="24"/>
          <w:szCs w:val="24"/>
          <w:lang w:val="en-GB"/>
        </w:rPr>
        <w:t xml:space="preserve"> ethnic groups</w:t>
      </w:r>
      <w:r w:rsidR="00A276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D5CC2">
        <w:rPr>
          <w:rFonts w:ascii="Times New Roman" w:hAnsi="Times New Roman" w:cs="Times New Roman"/>
          <w:sz w:val="24"/>
          <w:szCs w:val="24"/>
          <w:lang w:val="en-GB"/>
        </w:rPr>
        <w:t xml:space="preserve">finally </w:t>
      </w:r>
      <w:r w:rsidR="00A276EE">
        <w:rPr>
          <w:rFonts w:ascii="Times New Roman" w:hAnsi="Times New Roman" w:cs="Times New Roman"/>
          <w:sz w:val="24"/>
          <w:szCs w:val="24"/>
          <w:lang w:val="en-GB"/>
        </w:rPr>
        <w:t>disintegrated</w:t>
      </w:r>
      <w:r w:rsidR="002265A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71C6E">
        <w:rPr>
          <w:rFonts w:ascii="Times New Roman" w:hAnsi="Times New Roman" w:cs="Times New Roman"/>
          <w:sz w:val="24"/>
          <w:szCs w:val="24"/>
          <w:lang w:val="en-GB"/>
        </w:rPr>
        <w:t>New political entities</w:t>
      </w:r>
      <w:r w:rsidR="00975DBA">
        <w:rPr>
          <w:rFonts w:ascii="Times New Roman" w:hAnsi="Times New Roman" w:cs="Times New Roman"/>
          <w:sz w:val="24"/>
          <w:szCs w:val="24"/>
          <w:lang w:val="en-GB"/>
        </w:rPr>
        <w:t>, namely nation-states</w:t>
      </w:r>
      <w:r w:rsidR="00124C74">
        <w:rPr>
          <w:rFonts w:ascii="Times New Roman" w:hAnsi="Times New Roman" w:cs="Times New Roman"/>
          <w:sz w:val="24"/>
          <w:szCs w:val="24"/>
          <w:lang w:val="en-GB"/>
        </w:rPr>
        <w:t xml:space="preserve"> driven by the sense of national identity,</w:t>
      </w:r>
      <w:r w:rsidR="00975DBA">
        <w:rPr>
          <w:rFonts w:ascii="Times New Roman" w:hAnsi="Times New Roman" w:cs="Times New Roman"/>
          <w:sz w:val="24"/>
          <w:szCs w:val="24"/>
          <w:lang w:val="en-GB"/>
        </w:rPr>
        <w:t xml:space="preserve"> started to appear on</w:t>
      </w:r>
      <w:r w:rsidR="00740362">
        <w:rPr>
          <w:rFonts w:ascii="Times New Roman" w:hAnsi="Times New Roman" w:cs="Times New Roman"/>
          <w:sz w:val="24"/>
          <w:szCs w:val="24"/>
          <w:lang w:val="en-GB"/>
        </w:rPr>
        <w:t xml:space="preserve"> renewed</w:t>
      </w:r>
      <w:r w:rsidR="00975DBA">
        <w:rPr>
          <w:rFonts w:ascii="Times New Roman" w:hAnsi="Times New Roman" w:cs="Times New Roman"/>
          <w:sz w:val="24"/>
          <w:szCs w:val="24"/>
          <w:lang w:val="en-GB"/>
        </w:rPr>
        <w:t xml:space="preserve"> Europe’s map</w:t>
      </w:r>
      <w:r w:rsidR="00F10B9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F76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2179">
        <w:rPr>
          <w:rFonts w:ascii="Times New Roman" w:hAnsi="Times New Roman" w:cs="Times New Roman"/>
          <w:sz w:val="24"/>
          <w:szCs w:val="24"/>
          <w:lang w:val="en-GB"/>
        </w:rPr>
        <w:t>“The feeling and recognition of ‘we’ [versus] ‘they’”</w:t>
      </w:r>
      <w:r w:rsidR="003C3B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350338388"/>
          <w:citation/>
        </w:sdtPr>
        <w:sdtEndPr/>
        <w:sdtContent>
          <w:r w:rsidR="003C3B31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3C3B31" w:rsidRPr="0038757C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Yoo12 \p 29 \l 1045 </w:instrText>
          </w:r>
          <w:r w:rsidR="003C3B31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D570E1" w:rsidRPr="0038757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(Lee, 2012, p. 29)</w:t>
          </w:r>
          <w:r w:rsidR="003C3B31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end"/>
          </w:r>
        </w:sdtContent>
      </w:sdt>
      <w:r w:rsidR="00BC2179">
        <w:rPr>
          <w:rFonts w:ascii="Times New Roman" w:hAnsi="Times New Roman" w:cs="Times New Roman"/>
          <w:sz w:val="24"/>
          <w:szCs w:val="24"/>
          <w:lang w:val="en-GB"/>
        </w:rPr>
        <w:t xml:space="preserve"> – as national identity </w:t>
      </w:r>
      <w:r w:rsidR="00BC2179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is viewed</w:t>
      </w:r>
      <w:r w:rsidR="00BC2179">
        <w:rPr>
          <w:rFonts w:ascii="Times New Roman" w:hAnsi="Times New Roman" w:cs="Times New Roman"/>
          <w:sz w:val="24"/>
          <w:szCs w:val="24"/>
          <w:lang w:val="en-GB"/>
        </w:rPr>
        <w:t xml:space="preserve"> in psychological terms </w:t>
      </w:r>
      <w:r w:rsidR="00EF766B">
        <w:rPr>
          <w:rFonts w:ascii="Times New Roman" w:hAnsi="Times New Roman" w:cs="Times New Roman"/>
          <w:sz w:val="24"/>
          <w:szCs w:val="24"/>
          <w:lang w:val="en-GB"/>
        </w:rPr>
        <w:t xml:space="preserve">– constituted one of the factors determining the future of the continent in the twentieth century.  </w:t>
      </w:r>
      <w:r w:rsidR="004F05F5">
        <w:rPr>
          <w:rFonts w:ascii="Times New Roman" w:hAnsi="Times New Roman" w:cs="Times New Roman"/>
          <w:sz w:val="24"/>
          <w:szCs w:val="24"/>
          <w:lang w:val="en-GB"/>
        </w:rPr>
        <w:t>As for the British Empire, however,</w:t>
      </w:r>
      <w:r w:rsidR="009542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56FA">
        <w:rPr>
          <w:rFonts w:ascii="Times New Roman" w:hAnsi="Times New Roman" w:cs="Times New Roman"/>
          <w:sz w:val="24"/>
          <w:szCs w:val="24"/>
          <w:lang w:val="en-GB"/>
        </w:rPr>
        <w:t>matters took a different turn</w:t>
      </w:r>
      <w:r w:rsidR="00273153">
        <w:rPr>
          <w:rFonts w:ascii="Times New Roman" w:hAnsi="Times New Roman" w:cs="Times New Roman"/>
          <w:sz w:val="24"/>
          <w:szCs w:val="24"/>
          <w:lang w:val="en-GB"/>
        </w:rPr>
        <w:t xml:space="preserve"> – especially </w:t>
      </w:r>
      <w:r w:rsidR="00EF766B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5E7EB8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EF76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3153">
        <w:rPr>
          <w:rFonts w:ascii="Times New Roman" w:hAnsi="Times New Roman" w:cs="Times New Roman"/>
          <w:sz w:val="24"/>
          <w:szCs w:val="24"/>
          <w:lang w:val="en-GB"/>
        </w:rPr>
        <w:t>of national identity.</w:t>
      </w:r>
    </w:p>
    <w:p w:rsidR="005E7EB8" w:rsidRDefault="00741525" w:rsidP="0038757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FE401F">
        <w:rPr>
          <w:rFonts w:ascii="Times New Roman" w:hAnsi="Times New Roman" w:cs="Times New Roman"/>
          <w:sz w:val="24"/>
          <w:szCs w:val="24"/>
          <w:lang w:val="en-GB"/>
        </w:rPr>
        <w:t>nlike the other</w:t>
      </w:r>
      <w:r w:rsidR="00F51957">
        <w:rPr>
          <w:rFonts w:ascii="Times New Roman" w:hAnsi="Times New Roman" w:cs="Times New Roman"/>
          <w:sz w:val="24"/>
          <w:szCs w:val="24"/>
          <w:lang w:val="en-GB"/>
        </w:rPr>
        <w:t xml:space="preserve"> imperial</w:t>
      </w:r>
      <w:r w:rsidR="00FE401F">
        <w:rPr>
          <w:rFonts w:ascii="Times New Roman" w:hAnsi="Times New Roman" w:cs="Times New Roman"/>
          <w:sz w:val="24"/>
          <w:szCs w:val="24"/>
          <w:lang w:val="en-GB"/>
        </w:rPr>
        <w:t xml:space="preserve"> powers such as </w:t>
      </w:r>
      <w:r w:rsidR="00F51957">
        <w:rPr>
          <w:rFonts w:ascii="Times New Roman" w:hAnsi="Times New Roman" w:cs="Times New Roman"/>
          <w:sz w:val="24"/>
          <w:szCs w:val="24"/>
          <w:lang w:val="en-GB"/>
        </w:rPr>
        <w:t>Austro-Hungarian</w:t>
      </w:r>
      <w:r w:rsidR="00FE40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51957">
        <w:rPr>
          <w:rFonts w:ascii="Times New Roman" w:hAnsi="Times New Roman" w:cs="Times New Roman"/>
          <w:sz w:val="24"/>
          <w:szCs w:val="24"/>
          <w:lang w:val="en-GB"/>
        </w:rPr>
        <w:t>German</w:t>
      </w:r>
      <w:r w:rsidR="00FE401F">
        <w:rPr>
          <w:rFonts w:ascii="Times New Roman" w:hAnsi="Times New Roman" w:cs="Times New Roman"/>
          <w:sz w:val="24"/>
          <w:szCs w:val="24"/>
          <w:lang w:val="en-GB"/>
        </w:rPr>
        <w:t xml:space="preserve"> and Russian empires,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British </w:t>
      </w:r>
      <w:r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>Empire</w:t>
      </w:r>
      <w:r w:rsidR="00FE401F"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has</w:t>
      </w:r>
      <w:r w:rsidR="00FE401F">
        <w:rPr>
          <w:rFonts w:ascii="Times New Roman" w:hAnsi="Times New Roman" w:cs="Times New Roman"/>
          <w:sz w:val="24"/>
          <w:szCs w:val="24"/>
          <w:lang w:val="en-GB"/>
        </w:rPr>
        <w:t xml:space="preserve"> become </w:t>
      </w:r>
      <w:r w:rsidR="00FE401F" w:rsidRPr="00FE401F">
        <w:rPr>
          <w:rFonts w:ascii="Times New Roman" w:hAnsi="Times New Roman" w:cs="Times New Roman"/>
          <w:noProof/>
          <w:sz w:val="24"/>
          <w:szCs w:val="24"/>
          <w:lang w:val="en-GB"/>
        </w:rPr>
        <w:t>st</w:t>
      </w:r>
      <w:r w:rsidR="00FE401F">
        <w:rPr>
          <w:rFonts w:ascii="Times New Roman" w:hAnsi="Times New Roman" w:cs="Times New Roman"/>
          <w:noProof/>
          <w:sz w:val="24"/>
          <w:szCs w:val="24"/>
          <w:lang w:val="en-GB"/>
        </w:rPr>
        <w:t>rength</w:t>
      </w:r>
      <w:r w:rsidR="00FE401F" w:rsidRPr="00FE401F">
        <w:rPr>
          <w:rFonts w:ascii="Times New Roman" w:hAnsi="Times New Roman" w:cs="Times New Roman"/>
          <w:noProof/>
          <w:sz w:val="24"/>
          <w:szCs w:val="24"/>
          <w:lang w:val="en-GB"/>
        </w:rPr>
        <w:t>en</w:t>
      </w:r>
      <w:r w:rsidR="00F51957">
        <w:rPr>
          <w:rFonts w:ascii="Times New Roman" w:hAnsi="Times New Roman" w:cs="Times New Roman"/>
          <w:noProof/>
          <w:sz w:val="24"/>
          <w:szCs w:val="24"/>
          <w:lang w:val="en-GB"/>
        </w:rPr>
        <w:t>ed</w:t>
      </w:r>
      <w:r w:rsidR="00FE40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1957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E401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51957">
        <w:rPr>
          <w:rFonts w:ascii="Times New Roman" w:hAnsi="Times New Roman" w:cs="Times New Roman"/>
          <w:sz w:val="24"/>
          <w:szCs w:val="24"/>
          <w:lang w:val="en-GB"/>
        </w:rPr>
        <w:t xml:space="preserve"> sudden</w:t>
      </w:r>
      <w:r w:rsidR="00FE401F">
        <w:rPr>
          <w:rFonts w:ascii="Times New Roman" w:hAnsi="Times New Roman" w:cs="Times New Roman"/>
          <w:sz w:val="24"/>
          <w:szCs w:val="24"/>
          <w:lang w:val="en-GB"/>
        </w:rPr>
        <w:t xml:space="preserve"> outbreak of the Great War.</w:t>
      </w:r>
      <w:r w:rsidR="008C40F1">
        <w:rPr>
          <w:rFonts w:ascii="Times New Roman" w:hAnsi="Times New Roman" w:cs="Times New Roman"/>
          <w:sz w:val="24"/>
          <w:szCs w:val="24"/>
          <w:lang w:val="en-GB"/>
        </w:rPr>
        <w:t xml:space="preserve"> As observed by Cambridge University historian David Reynolds,</w:t>
      </w:r>
      <w:r w:rsidR="00CC5FAD" w:rsidRPr="00387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E1D" w:rsidRPr="0038757C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CF457D" w:rsidRPr="0038757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131EB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CF457D" w:rsidRPr="0038757C">
        <w:rPr>
          <w:rFonts w:ascii="Times New Roman" w:hAnsi="Times New Roman" w:cs="Times New Roman"/>
          <w:sz w:val="24"/>
          <w:szCs w:val="24"/>
          <w:lang w:val="en-US"/>
        </w:rPr>
        <w:t xml:space="preserve"> war, the </w:t>
      </w:r>
      <w:r w:rsidR="008C40F1" w:rsidRPr="00D131EB">
        <w:rPr>
          <w:rFonts w:ascii="Times New Roman" w:hAnsi="Times New Roman" w:cs="Times New Roman"/>
          <w:noProof/>
          <w:sz w:val="24"/>
          <w:szCs w:val="24"/>
          <w:lang w:val="en-GB"/>
        </w:rPr>
        <w:t>pursuit</w:t>
      </w:r>
      <w:r w:rsidR="008C40F1">
        <w:rPr>
          <w:rFonts w:ascii="Times New Roman" w:hAnsi="Times New Roman" w:cs="Times New Roman"/>
          <w:sz w:val="24"/>
          <w:szCs w:val="24"/>
          <w:lang w:val="en-GB"/>
        </w:rPr>
        <w:t xml:space="preserve"> for self-determination among British Dominions such as Canada, </w:t>
      </w:r>
      <w:r w:rsidR="008C40F1" w:rsidRPr="008C40F1">
        <w:rPr>
          <w:rFonts w:ascii="Times New Roman" w:hAnsi="Times New Roman" w:cs="Times New Roman"/>
          <w:noProof/>
          <w:sz w:val="24"/>
          <w:szCs w:val="24"/>
          <w:lang w:val="en-GB"/>
        </w:rPr>
        <w:t>Australia</w:t>
      </w:r>
      <w:r w:rsidR="008C40F1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r w:rsidR="00D131EB">
        <w:rPr>
          <w:rFonts w:ascii="Times New Roman" w:hAnsi="Times New Roman" w:cs="Times New Roman"/>
          <w:sz w:val="24"/>
          <w:szCs w:val="24"/>
          <w:lang w:val="en-GB"/>
        </w:rPr>
        <w:t xml:space="preserve"> and New Zealand has been hindered </w:t>
      </w:r>
      <w:r w:rsidR="00D131EB" w:rsidRPr="0028672B">
        <w:rPr>
          <w:rFonts w:ascii="Times New Roman" w:hAnsi="Times New Roman" w:cs="Times New Roman"/>
          <w:noProof/>
          <w:sz w:val="24"/>
          <w:szCs w:val="24"/>
          <w:lang w:val="en-GB"/>
        </w:rPr>
        <w:t>for</w:t>
      </w:r>
      <w:r w:rsidR="0028672B" w:rsidRPr="0028672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28672B">
        <w:rPr>
          <w:rFonts w:ascii="Times New Roman" w:hAnsi="Times New Roman" w:cs="Times New Roman"/>
          <w:noProof/>
          <w:sz w:val="24"/>
          <w:szCs w:val="24"/>
          <w:lang w:val="en-GB"/>
        </w:rPr>
        <w:t>many</w:t>
      </w:r>
      <w:r w:rsidR="00D131EB" w:rsidRPr="0028672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decades</w:t>
      </w:r>
      <w:r w:rsidR="00D131EB">
        <w:rPr>
          <w:rFonts w:ascii="Times New Roman" w:hAnsi="Times New Roman" w:cs="Times New Roman"/>
          <w:sz w:val="24"/>
          <w:szCs w:val="24"/>
          <w:lang w:val="en-GB"/>
        </w:rPr>
        <w:t xml:space="preserve"> to come. </w:t>
      </w:r>
      <w:r w:rsidR="00D131EB"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>A new sense of national pride and</w:t>
      </w:r>
      <w:r w:rsidR="00705804"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</w:t>
      </w:r>
      <w:r w:rsidR="00AD13A8"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>n</w:t>
      </w:r>
      <w:r w:rsidR="00AD13A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intense</w:t>
      </w:r>
      <w:r w:rsidR="00D131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5804">
        <w:rPr>
          <w:rFonts w:ascii="Times New Roman" w:hAnsi="Times New Roman" w:cs="Times New Roman"/>
          <w:sz w:val="24"/>
          <w:szCs w:val="24"/>
          <w:lang w:val="en-GB"/>
        </w:rPr>
        <w:t>sensation</w:t>
      </w:r>
      <w:r w:rsidR="00D131EB">
        <w:rPr>
          <w:rFonts w:ascii="Times New Roman" w:hAnsi="Times New Roman" w:cs="Times New Roman"/>
          <w:sz w:val="24"/>
          <w:szCs w:val="24"/>
          <w:lang w:val="en-GB"/>
        </w:rPr>
        <w:t xml:space="preserve"> of being part of the British world 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aroused</w:t>
      </w:r>
      <w:r w:rsidR="00D131EB">
        <w:rPr>
          <w:rFonts w:ascii="Times New Roman" w:hAnsi="Times New Roman" w:cs="Times New Roman"/>
          <w:sz w:val="24"/>
          <w:szCs w:val="24"/>
          <w:lang w:val="en-GB"/>
        </w:rPr>
        <w:t xml:space="preserve"> among the subjects of </w:t>
      </w:r>
      <w:r w:rsidR="00705804">
        <w:rPr>
          <w:rFonts w:ascii="Times New Roman" w:hAnsi="Times New Roman" w:cs="Times New Roman"/>
          <w:sz w:val="24"/>
          <w:szCs w:val="24"/>
          <w:lang w:val="en-GB"/>
        </w:rPr>
        <w:t>King George V to Queen Elizabeth II.</w:t>
      </w:r>
    </w:p>
    <w:p w:rsidR="006B56C0" w:rsidRDefault="00AD13A8" w:rsidP="0038757C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mainland Britain things were no different. It 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appe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a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war </w:t>
      </w:r>
      <w:r w:rsidR="00CF457D" w:rsidRPr="0038757C">
        <w:rPr>
          <w:rFonts w:ascii="Times New Roman" w:hAnsi="Times New Roman" w:cs="Times New Roman"/>
          <w:sz w:val="24"/>
          <w:szCs w:val="24"/>
          <w:lang w:val="en-US"/>
        </w:rPr>
        <w:t>strengthened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ties between</w:t>
      </w:r>
      <w:r w:rsidR="0074152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525">
        <w:rPr>
          <w:rFonts w:ascii="Times New Roman" w:hAnsi="Times New Roman" w:cs="Times New Roman"/>
          <w:sz w:val="24"/>
          <w:szCs w:val="24"/>
          <w:lang w:val="en-GB"/>
        </w:rPr>
        <w:t>British state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its diversified population. Still, just before the outbreak of the first global 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conflict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attitude towards </w:t>
      </w:r>
      <w:r w:rsidR="00D578F1">
        <w:rPr>
          <w:rFonts w:ascii="Times New Roman" w:hAnsi="Times New Roman" w:cs="Times New Roman"/>
          <w:noProof/>
          <w:sz w:val="24"/>
          <w:szCs w:val="24"/>
          <w:lang w:val="en-GB"/>
        </w:rPr>
        <w:t>British centralised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state was different. </w:t>
      </w:r>
      <w:r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>In 1912, a Home Rule Bill for Ireland was introduced.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A n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ational identity built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on the grounds of Gaelic language and Roman Catholic </w:t>
      </w:r>
      <w:r w:rsidR="00DD71DA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religion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has been a bone of contention between Ireland and British 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t>settlers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The Irish 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ere not the only nation striving to establish </w:t>
      </w:r>
      <w:r w:rsidR="00741525">
        <w:rPr>
          <w:rFonts w:ascii="Times New Roman" w:hAnsi="Times New Roman" w:cs="Times New Roman"/>
          <w:noProof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self-determined statehood. Scotish nationalists followed </w:t>
      </w:r>
      <w:r w:rsidR="006757A9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Ireland's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steps in 1913, introducing their own Home Rule Bill. Unsurprisingly, Welsh supporters of independence could not waste their 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opp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o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rtunity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to emerge from the English shadow. Thus, in 1914, the Welsh Church Act was introduced. It 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sestablished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the Anglican Church of England in Wales, which owned large estates there. </w:t>
      </w:r>
      <w:r w:rsidRPr="00AD13A8">
        <w:rPr>
          <w:rFonts w:ascii="Times New Roman" w:hAnsi="Times New Roman" w:cs="Times New Roman"/>
          <w:noProof/>
          <w:sz w:val="24"/>
          <w:szCs w:val="24"/>
          <w:lang w:val="en-GB"/>
        </w:rPr>
        <w:t>These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, in turn,</w:t>
      </w:r>
      <w:r w:rsidR="006E2CD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ensured the power and influence of English landlords over the region</w:t>
      </w:r>
      <w:r w:rsidR="006E2CD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throughout the past centuries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="006E2CD9">
        <w:rPr>
          <w:rFonts w:ascii="Times New Roman" w:hAnsi="Times New Roman" w:cs="Times New Roman"/>
          <w:noProof/>
          <w:sz w:val="24"/>
          <w:szCs w:val="24"/>
          <w:lang w:val="en-GB"/>
        </w:rPr>
        <w:t>Therefore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in the mid of 1914, the future of the union between England and three other member nations was doubtful. Out of the blue, the 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urge for self-determination has been overshadowed by concerns about the </w:t>
      </w:r>
      <w:r w:rsidR="00AF5378" w:rsidRPr="00AF5378">
        <w:rPr>
          <w:rFonts w:ascii="Times New Roman" w:hAnsi="Times New Roman" w:cs="Times New Roman"/>
          <w:noProof/>
          <w:sz w:val="24"/>
          <w:szCs w:val="24"/>
          <w:lang w:val="en-GB"/>
        </w:rPr>
        <w:t>threat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German </w:t>
      </w:r>
      <w:r w:rsidR="00AF5378" w:rsidRPr="00AF5378">
        <w:rPr>
          <w:rFonts w:ascii="Times New Roman" w:hAnsi="Times New Roman" w:cs="Times New Roman"/>
          <w:noProof/>
          <w:sz w:val="24"/>
          <w:szCs w:val="24"/>
          <w:lang w:val="en-GB"/>
        </w:rPr>
        <w:t>im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>per</w:t>
      </w:r>
      <w:r w:rsidR="00AF5378" w:rsidRPr="00AF5378">
        <w:rPr>
          <w:rFonts w:ascii="Times New Roman" w:hAnsi="Times New Roman" w:cs="Times New Roman"/>
          <w:noProof/>
          <w:sz w:val="24"/>
          <w:szCs w:val="24"/>
          <w:lang w:val="en-GB"/>
        </w:rPr>
        <w:t>ialism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 xml:space="preserve">The </w:t>
      </w:r>
      <w:r w:rsidR="00AF5378" w:rsidRPr="00AF5378">
        <w:rPr>
          <w:rFonts w:ascii="Times New Roman" w:hAnsi="Times New Roman" w:cs="Times New Roman"/>
          <w:noProof/>
          <w:sz w:val="24"/>
          <w:szCs w:val="24"/>
          <w:lang w:val="en-GB"/>
        </w:rPr>
        <w:t>United Kingdom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="00BD06F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by that </w:t>
      </w:r>
      <w:r w:rsidR="00BD06FA"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>time</w:t>
      </w:r>
      <w:r w:rsidR="00D578F1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r w:rsidR="00BD06F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872E45">
        <w:rPr>
          <w:rFonts w:ascii="Times New Roman" w:hAnsi="Times New Roman" w:cs="Times New Roman"/>
          <w:noProof/>
          <w:sz w:val="24"/>
          <w:szCs w:val="24"/>
          <w:lang w:val="en-GB"/>
        </w:rPr>
        <w:t>appeared very disunited</w:t>
      </w:r>
      <w:r w:rsidR="00872E45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D20E3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D20E34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Nevertheless,</w:t>
      </w:r>
      <w:r w:rsidR="007D1D44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E429D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the</w:t>
      </w:r>
      <w:r w:rsidR="00AF5378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E429D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four nations of Britain 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>m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anaged to unite for the greater, British 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cause. Even those of </w:t>
      </w:r>
      <w:r w:rsidR="00B10F49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most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B10F49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dominant 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reluctance towards the </w:t>
      </w:r>
      <w:r w:rsidR="00AF5378" w:rsidRPr="00AF5378">
        <w:rPr>
          <w:rFonts w:ascii="Times New Roman" w:hAnsi="Times New Roman" w:cs="Times New Roman"/>
          <w:noProof/>
          <w:sz w:val="24"/>
          <w:szCs w:val="24"/>
          <w:lang w:val="en-GB"/>
        </w:rPr>
        <w:t>En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>g</w:t>
      </w:r>
      <w:r w:rsidR="00AF5378" w:rsidRPr="00AF5378">
        <w:rPr>
          <w:rFonts w:ascii="Times New Roman" w:hAnsi="Times New Roman" w:cs="Times New Roman"/>
          <w:noProof/>
          <w:sz w:val="24"/>
          <w:szCs w:val="24"/>
          <w:lang w:val="en-GB"/>
        </w:rPr>
        <w:t>lish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– </w:t>
      </w:r>
      <w:r w:rsidR="00BD06FA">
        <w:rPr>
          <w:rFonts w:ascii="Times New Roman" w:hAnsi="Times New Roman" w:cs="Times New Roman"/>
          <w:noProof/>
          <w:sz w:val="24"/>
          <w:szCs w:val="24"/>
          <w:lang w:val="en-GB"/>
        </w:rPr>
        <w:t>Catholic Irishme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>n – expressed their readiness to fight shoulder to shoulder with the British.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Hence, the implementation of</w:t>
      </w:r>
      <w:r w:rsidR="00AF53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>the then-</w:t>
      </w:r>
      <w:r w:rsidR="00D51A2B" w:rsidRPr="00D51A2B">
        <w:rPr>
          <w:rFonts w:ascii="Times New Roman" w:hAnsi="Times New Roman" w:cs="Times New Roman"/>
          <w:noProof/>
          <w:sz w:val="24"/>
          <w:szCs w:val="24"/>
          <w:lang w:val="en-GB"/>
        </w:rPr>
        <w:t>recen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>tl</w:t>
      </w:r>
      <w:r w:rsidR="00D51A2B" w:rsidRPr="00D51A2B">
        <w:rPr>
          <w:rFonts w:ascii="Times New Roman" w:hAnsi="Times New Roman" w:cs="Times New Roman"/>
          <w:noProof/>
          <w:sz w:val="24"/>
          <w:szCs w:val="24"/>
          <w:lang w:val="en-GB"/>
        </w:rPr>
        <w:t>y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D51A2B" w:rsidRPr="00D51A2B">
        <w:rPr>
          <w:rFonts w:ascii="Times New Roman" w:hAnsi="Times New Roman" w:cs="Times New Roman"/>
          <w:noProof/>
          <w:sz w:val="24"/>
          <w:szCs w:val="24"/>
          <w:lang w:val="en-GB"/>
        </w:rPr>
        <w:t>ad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>o</w:t>
      </w:r>
      <w:r w:rsidR="00D51A2B" w:rsidRPr="00D51A2B">
        <w:rPr>
          <w:rFonts w:ascii="Times New Roman" w:hAnsi="Times New Roman" w:cs="Times New Roman"/>
          <w:noProof/>
          <w:sz w:val="24"/>
          <w:szCs w:val="24"/>
          <w:lang w:val="en-GB"/>
        </w:rPr>
        <w:t>pted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Irish Home Rule and Welsh 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>D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isestablishment 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>B</w:t>
      </w:r>
      <w:r w:rsidR="00D51A2B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ill</w:t>
      </w:r>
      <w:r w:rsidR="00D51A2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had been </w:t>
      </w:r>
      <w:r w:rsidR="00023DB6">
        <w:rPr>
          <w:rFonts w:ascii="Times New Roman" w:hAnsi="Times New Roman" w:cs="Times New Roman"/>
          <w:noProof/>
          <w:sz w:val="24"/>
          <w:szCs w:val="24"/>
          <w:lang w:val="en-GB"/>
        </w:rPr>
        <w:t>suspended by the wartime. Due to the wartime experiences, the sense of ‘we’ vs. ‘</w:t>
      </w:r>
      <w:r w:rsidR="00023DB6" w:rsidRPr="00023DB6">
        <w:rPr>
          <w:rFonts w:ascii="Times New Roman" w:hAnsi="Times New Roman" w:cs="Times New Roman"/>
          <w:noProof/>
          <w:sz w:val="24"/>
          <w:szCs w:val="24"/>
          <w:lang w:val="en-GB"/>
        </w:rPr>
        <w:t>they</w:t>
      </w:r>
      <w:r w:rsidR="00023DB6">
        <w:rPr>
          <w:rFonts w:ascii="Times New Roman" w:hAnsi="Times New Roman" w:cs="Times New Roman"/>
          <w:noProof/>
          <w:sz w:val="24"/>
          <w:szCs w:val="24"/>
          <w:lang w:val="en-GB"/>
        </w:rPr>
        <w:t>' has been pushed into the background. Welsh and Scots identified themselves not only by their ethnic origin, but also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they</w:t>
      </w:r>
      <w:r w:rsidR="00023DB6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felt </w:t>
      </w:r>
      <w:r w:rsidR="005B2EF7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the</w:t>
      </w:r>
      <w:r w:rsidR="00023DB6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5B2EF7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pride </w:t>
      </w:r>
      <w:r w:rsidR="00023DB6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of being British. </w:t>
      </w:r>
      <w:r w:rsidR="00705D27">
        <w:rPr>
          <w:rFonts w:ascii="Times New Roman" w:hAnsi="Times New Roman" w:cs="Times New Roman"/>
          <w:noProof/>
          <w:sz w:val="24"/>
          <w:szCs w:val="24"/>
          <w:lang w:val="en-GB"/>
        </w:rPr>
        <w:t>Ireland, however, took a different</w:t>
      </w:r>
      <w:r w:rsidR="004A693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more radical </w:t>
      </w:r>
      <w:r w:rsidR="00705D2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path. </w:t>
      </w:r>
    </w:p>
    <w:p w:rsidR="00BD56FA" w:rsidRDefault="006B56C0" w:rsidP="0038757C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 Irish </w:t>
      </w:r>
      <w:r w:rsidR="005972D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did not abandon the idea of self-determination for long. Unlike the other nations of Europe, they took advantage of the war turmoil and </w:t>
      </w:r>
      <w:r w:rsidR="005972DC" w:rsidRPr="00685A4E">
        <w:rPr>
          <w:rFonts w:ascii="Times New Roman" w:hAnsi="Times New Roman" w:cs="Times New Roman"/>
          <w:noProof/>
          <w:sz w:val="24"/>
          <w:szCs w:val="24"/>
          <w:lang w:val="en-GB"/>
        </w:rPr>
        <w:t>lau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>n</w:t>
      </w:r>
      <w:r w:rsidR="005972DC" w:rsidRPr="00685A4E">
        <w:rPr>
          <w:rFonts w:ascii="Times New Roman" w:hAnsi="Times New Roman" w:cs="Times New Roman"/>
          <w:noProof/>
          <w:sz w:val="24"/>
          <w:szCs w:val="24"/>
          <w:lang w:val="en-GB"/>
        </w:rPr>
        <w:t>ched</w:t>
      </w:r>
      <w:r w:rsidR="005972D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 armed </w:t>
      </w:r>
      <w:r w:rsidR="005972DC" w:rsidRPr="00685A4E">
        <w:rPr>
          <w:rFonts w:ascii="Times New Roman" w:hAnsi="Times New Roman" w:cs="Times New Roman"/>
          <w:noProof/>
          <w:sz w:val="24"/>
          <w:szCs w:val="24"/>
          <w:lang w:val="en-GB"/>
        </w:rPr>
        <w:t>insu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>r</w:t>
      </w:r>
      <w:r w:rsidR="005972DC" w:rsidRPr="00685A4E">
        <w:rPr>
          <w:rFonts w:ascii="Times New Roman" w:hAnsi="Times New Roman" w:cs="Times New Roman"/>
          <w:noProof/>
          <w:sz w:val="24"/>
          <w:szCs w:val="24"/>
          <w:lang w:val="en-GB"/>
        </w:rPr>
        <w:t>rection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D3294B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focused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D3294B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on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CD4180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winning</w:t>
      </w:r>
      <w:r w:rsidR="00D3294B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independence </w:t>
      </w:r>
      <w:r w:rsidR="00685A4E" w:rsidRPr="00685A4E">
        <w:rPr>
          <w:rFonts w:ascii="Times New Roman" w:hAnsi="Times New Roman" w:cs="Times New Roman"/>
          <w:noProof/>
          <w:sz w:val="24"/>
          <w:szCs w:val="24"/>
          <w:lang w:val="en-GB"/>
        </w:rPr>
        <w:t>f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>ro</w:t>
      </w:r>
      <w:r w:rsidR="00685A4E" w:rsidRPr="00685A4E">
        <w:rPr>
          <w:rFonts w:ascii="Times New Roman" w:hAnsi="Times New Roman" w:cs="Times New Roman"/>
          <w:noProof/>
          <w:sz w:val="24"/>
          <w:szCs w:val="24"/>
          <w:lang w:val="en-GB"/>
        </w:rPr>
        <w:t>m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Britain</w:t>
      </w:r>
      <w:r w:rsidR="005972D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="005972DC" w:rsidRPr="005972DC">
        <w:rPr>
          <w:rFonts w:ascii="Times New Roman" w:hAnsi="Times New Roman" w:cs="Times New Roman"/>
          <w:noProof/>
          <w:sz w:val="24"/>
          <w:szCs w:val="24"/>
          <w:lang w:val="en-GB"/>
        </w:rPr>
        <w:t>Sinn Féin</w:t>
      </w:r>
      <w:r w:rsidR="005972D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an </w:t>
      </w:r>
      <w:r w:rsidR="00685A4E">
        <w:rPr>
          <w:rFonts w:ascii="Times New Roman" w:hAnsi="Times New Roman" w:cs="Times New Roman"/>
          <w:noProof/>
          <w:sz w:val="24"/>
          <w:szCs w:val="24"/>
          <w:lang w:val="en-GB"/>
        </w:rPr>
        <w:t>Irish nationalist</w:t>
      </w:r>
      <w:r w:rsidR="005972D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independent movement, on 24 April 1916 proclaimed the Irish Republic.</w:t>
      </w:r>
      <w:r w:rsidR="00685A4E">
        <w:rPr>
          <w:rFonts w:ascii="Times New Roman" w:hAnsi="Times New Roman" w:cs="Times New Roman"/>
          <w:sz w:val="24"/>
          <w:szCs w:val="24"/>
          <w:lang w:val="en-GB"/>
        </w:rPr>
        <w:t xml:space="preserve"> With weapons supplied by Germans, Irish insurgents </w:t>
      </w:r>
      <w:r w:rsidR="00CD4180">
        <w:rPr>
          <w:rFonts w:ascii="Times New Roman" w:hAnsi="Times New Roman" w:cs="Times New Roman"/>
          <w:sz w:val="24"/>
          <w:szCs w:val="24"/>
          <w:lang w:val="en-GB"/>
        </w:rPr>
        <w:t>intended</w:t>
      </w:r>
      <w:r w:rsidR="00685A4E">
        <w:rPr>
          <w:rFonts w:ascii="Times New Roman" w:hAnsi="Times New Roman" w:cs="Times New Roman"/>
          <w:sz w:val="24"/>
          <w:szCs w:val="24"/>
          <w:lang w:val="en-GB"/>
        </w:rPr>
        <w:t xml:space="preserve"> to seize the control over Dublin. The coup, </w:t>
      </w:r>
      <w:r w:rsidR="00685A4E" w:rsidRPr="007C5731">
        <w:rPr>
          <w:rFonts w:ascii="Times New Roman" w:hAnsi="Times New Roman" w:cs="Times New Roman"/>
          <w:noProof/>
          <w:sz w:val="24"/>
          <w:szCs w:val="24"/>
          <w:lang w:val="en-GB"/>
        </w:rPr>
        <w:t>however</w:t>
      </w:r>
      <w:r w:rsidR="007C5731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r w:rsidR="00685A4E">
        <w:rPr>
          <w:rFonts w:ascii="Times New Roman" w:hAnsi="Times New Roman" w:cs="Times New Roman"/>
          <w:sz w:val="24"/>
          <w:szCs w:val="24"/>
          <w:lang w:val="en-GB"/>
        </w:rPr>
        <w:t xml:space="preserve"> was poorly </w:t>
      </w:r>
      <w:r w:rsidR="00685A4E" w:rsidRPr="007C5731">
        <w:rPr>
          <w:rFonts w:ascii="Times New Roman" w:hAnsi="Times New Roman" w:cs="Times New Roman"/>
          <w:noProof/>
          <w:sz w:val="24"/>
          <w:szCs w:val="24"/>
          <w:lang w:val="en-GB"/>
        </w:rPr>
        <w:t>organised</w:t>
      </w:r>
      <w:r w:rsidR="00685A4E">
        <w:rPr>
          <w:rFonts w:ascii="Times New Roman" w:hAnsi="Times New Roman" w:cs="Times New Roman"/>
          <w:sz w:val="24"/>
          <w:szCs w:val="24"/>
          <w:lang w:val="en-GB"/>
        </w:rPr>
        <w:t xml:space="preserve"> and enjoyed</w:t>
      </w:r>
      <w:r w:rsidR="007C573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7C573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7C5731" w:rsidRPr="007C5731">
        <w:rPr>
          <w:rFonts w:ascii="Times New Roman" w:hAnsi="Times New Roman" w:cs="Times New Roman"/>
          <w:noProof/>
          <w:sz w:val="24"/>
          <w:szCs w:val="24"/>
          <w:lang w:val="en-GB"/>
        </w:rPr>
        <w:t>insufficient</w:t>
      </w:r>
      <w:r w:rsidR="00685A4E">
        <w:rPr>
          <w:rFonts w:ascii="Times New Roman" w:hAnsi="Times New Roman" w:cs="Times New Roman"/>
          <w:sz w:val="24"/>
          <w:szCs w:val="24"/>
          <w:lang w:val="en-GB"/>
        </w:rPr>
        <w:t xml:space="preserve"> support of the locals. These factors determined its fiasco. Had it not been for the brutal reaction of British military commanders, the coup </w:t>
      </w:r>
      <w:r w:rsidR="007C5731">
        <w:rPr>
          <w:rFonts w:ascii="Times New Roman" w:hAnsi="Times New Roman" w:cs="Times New Roman"/>
          <w:sz w:val="24"/>
          <w:szCs w:val="24"/>
          <w:lang w:val="en-GB"/>
        </w:rPr>
        <w:t xml:space="preserve">might have been remembered as a </w:t>
      </w:r>
      <w:r w:rsidR="007C5731" w:rsidRPr="007C5731">
        <w:rPr>
          <w:rFonts w:ascii="Times New Roman" w:hAnsi="Times New Roman" w:cs="Times New Roman"/>
          <w:noProof/>
          <w:sz w:val="24"/>
          <w:szCs w:val="24"/>
          <w:lang w:val="en-GB"/>
        </w:rPr>
        <w:t>sens</w:t>
      </w:r>
      <w:r w:rsidR="007C5731">
        <w:rPr>
          <w:rFonts w:ascii="Times New Roman" w:hAnsi="Times New Roman" w:cs="Times New Roman"/>
          <w:noProof/>
          <w:sz w:val="24"/>
          <w:szCs w:val="24"/>
          <w:lang w:val="en-GB"/>
        </w:rPr>
        <w:t>e</w:t>
      </w:r>
      <w:r w:rsidR="007C5731" w:rsidRPr="007C5731">
        <w:rPr>
          <w:rFonts w:ascii="Times New Roman" w:hAnsi="Times New Roman" w:cs="Times New Roman"/>
          <w:noProof/>
          <w:sz w:val="24"/>
          <w:szCs w:val="24"/>
          <w:lang w:val="en-GB"/>
        </w:rPr>
        <w:t>less</w:t>
      </w:r>
      <w:r w:rsidR="007C5731">
        <w:rPr>
          <w:rFonts w:ascii="Times New Roman" w:hAnsi="Times New Roman" w:cs="Times New Roman"/>
          <w:sz w:val="24"/>
          <w:szCs w:val="24"/>
          <w:lang w:val="en-GB"/>
        </w:rPr>
        <w:t xml:space="preserve"> act of irresponsibility. Ironically, it was the British who proved their recklessness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. Martial law </w:t>
      </w:r>
      <w:r w:rsidR="00E76A38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was imposed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; three thousand random people </w:t>
      </w:r>
      <w:r w:rsidR="00E76A38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were arrested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 and the leaders of the insurrection – executed. The last decision turned out to be </w:t>
      </w:r>
      <w:r w:rsidR="00E76A38" w:rsidRPr="00E76A38">
        <w:rPr>
          <w:rFonts w:ascii="Times New Roman" w:hAnsi="Times New Roman" w:cs="Times New Roman"/>
          <w:noProof/>
          <w:sz w:val="24"/>
          <w:szCs w:val="24"/>
          <w:lang w:val="en-GB"/>
        </w:rPr>
        <w:t>disastrous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 for the British. Although the rebellion </w:t>
      </w:r>
      <w:r w:rsidR="00E76A38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was crushed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>, the Irish won the moral victory.</w:t>
      </w:r>
      <w:r w:rsidR="001A78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t>The b</w:t>
      </w:r>
      <w:r w:rsidR="00E76A38"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rutal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 reaction</w:t>
      </w:r>
      <w:r w:rsidR="001A7859">
        <w:rPr>
          <w:rFonts w:ascii="Times New Roman" w:hAnsi="Times New Roman" w:cs="Times New Roman"/>
          <w:sz w:val="24"/>
          <w:szCs w:val="24"/>
          <w:lang w:val="en-GB"/>
        </w:rPr>
        <w:t xml:space="preserve"> of English authorities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 evoked empathy and solidarity among millions of people. In consequence, Ireland’s struggle for </w:t>
      </w:r>
      <w:r w:rsidR="00E76A38" w:rsidRPr="00E76A38"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="00E76A38">
        <w:rPr>
          <w:rFonts w:ascii="Times New Roman" w:hAnsi="Times New Roman" w:cs="Times New Roman"/>
          <w:noProof/>
          <w:sz w:val="24"/>
          <w:szCs w:val="24"/>
          <w:lang w:val="en-GB"/>
        </w:rPr>
        <w:t>nde</w:t>
      </w:r>
      <w:r w:rsidR="00E76A38" w:rsidRPr="00E76A38">
        <w:rPr>
          <w:rFonts w:ascii="Times New Roman" w:hAnsi="Times New Roman" w:cs="Times New Roman"/>
          <w:noProof/>
          <w:sz w:val="24"/>
          <w:szCs w:val="24"/>
          <w:lang w:val="en-GB"/>
        </w:rPr>
        <w:t>pendence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 gained recognition </w:t>
      </w:r>
      <w:r w:rsidR="009D77E6">
        <w:rPr>
          <w:rFonts w:ascii="Times New Roman" w:hAnsi="Times New Roman" w:cs="Times New Roman"/>
          <w:sz w:val="24"/>
          <w:szCs w:val="24"/>
          <w:lang w:val="en-GB"/>
        </w:rPr>
        <w:t xml:space="preserve">while the </w:t>
      </w:r>
      <w:r w:rsidR="009D77E6"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sacrifice </w:t>
      </w:r>
      <w:r w:rsidR="009D77E6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of the </w:t>
      </w:r>
      <w:r w:rsidR="00E76A38"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rebels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77E6">
        <w:rPr>
          <w:rFonts w:ascii="Times New Roman" w:hAnsi="Times New Roman" w:cs="Times New Roman"/>
          <w:sz w:val="24"/>
          <w:szCs w:val="24"/>
          <w:lang w:val="en-GB"/>
        </w:rPr>
        <w:t>was enough to turn them into</w:t>
      </w:r>
      <w:r w:rsidR="00E76A38">
        <w:rPr>
          <w:rFonts w:ascii="Times New Roman" w:hAnsi="Times New Roman" w:cs="Times New Roman"/>
          <w:sz w:val="24"/>
          <w:szCs w:val="24"/>
          <w:lang w:val="en-GB"/>
        </w:rPr>
        <w:t xml:space="preserve"> martyrs, icons of the </w:t>
      </w:r>
      <w:r w:rsidR="00E76A38" w:rsidRPr="00E76A38">
        <w:rPr>
          <w:rFonts w:ascii="Times New Roman" w:hAnsi="Times New Roman" w:cs="Times New Roman"/>
          <w:noProof/>
          <w:sz w:val="24"/>
          <w:szCs w:val="24"/>
          <w:lang w:val="en-GB"/>
        </w:rPr>
        <w:t>indep</w:t>
      </w:r>
      <w:r w:rsidR="00E76A38">
        <w:rPr>
          <w:rFonts w:ascii="Times New Roman" w:hAnsi="Times New Roman" w:cs="Times New Roman"/>
          <w:noProof/>
          <w:sz w:val="24"/>
          <w:szCs w:val="24"/>
          <w:lang w:val="en-GB"/>
        </w:rPr>
        <w:t>end</w:t>
      </w:r>
      <w:r w:rsidR="00E76A38" w:rsidRPr="00E76A38">
        <w:rPr>
          <w:rFonts w:ascii="Times New Roman" w:hAnsi="Times New Roman" w:cs="Times New Roman"/>
          <w:noProof/>
          <w:sz w:val="24"/>
          <w:szCs w:val="24"/>
          <w:lang w:val="en-GB"/>
        </w:rPr>
        <w:t>ent</w:t>
      </w:r>
      <w:r w:rsidR="00E76A3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movement. This fueled </w:t>
      </w:r>
      <w:r w:rsidR="00466FFC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Ireland's</w:t>
      </w:r>
      <w:r w:rsidR="00E76A3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pursuit </w:t>
      </w:r>
      <w:r w:rsidR="00D578F1">
        <w:rPr>
          <w:rFonts w:ascii="Times New Roman" w:hAnsi="Times New Roman" w:cs="Times New Roman"/>
          <w:noProof/>
          <w:sz w:val="24"/>
          <w:szCs w:val="24"/>
          <w:lang w:val="en-GB"/>
        </w:rPr>
        <w:t>of</w:t>
      </w:r>
      <w:r w:rsidR="00E76A3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9D77E6">
        <w:rPr>
          <w:rFonts w:ascii="Times New Roman" w:hAnsi="Times New Roman" w:cs="Times New Roman"/>
          <w:noProof/>
          <w:sz w:val="24"/>
          <w:szCs w:val="24"/>
          <w:lang w:val="en-GB"/>
        </w:rPr>
        <w:t>freedom</w:t>
      </w:r>
      <w:r w:rsidR="00E76A3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for years to come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="009D77E6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9D77E6" w:rsidRDefault="009D77E6" w:rsidP="0038757C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 same 1916 year, events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took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place that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streng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th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en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ed the old antagonisms between the Catholic Republicans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and 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t>P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rotestant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466FFC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Unionists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from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Ulster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, who opposed the breakaway with Britain. On the fir</w:t>
      </w:r>
      <w:r w:rsidR="002E08EA">
        <w:rPr>
          <w:rFonts w:ascii="Times New Roman" w:hAnsi="Times New Roman" w:cs="Times New Roman"/>
          <w:noProof/>
          <w:sz w:val="24"/>
          <w:szCs w:val="24"/>
          <w:lang w:val="en-GB"/>
        </w:rPr>
        <w:t>st day of the Battle of Sonne, the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36</w:t>
      </w:r>
      <w:r w:rsidRPr="009D77E6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division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consis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t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mostly of 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t>P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rotestants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which many previously were Ulster Volunteers, supposedly went ‘over the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top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.' The event has </w:t>
      </w:r>
      <w:r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been remembered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as an act of ultimate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sacrif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ce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for the greater cause. That day coincided with the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tr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aditional anniversary of Battle of the Boyne in which joint Catholic Jacobites forces fought against Williamites coalition</w:t>
      </w:r>
      <w:r w:rsidR="002E08E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Protestants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. Among the latter fought no one else than Ulster settlers, whose descendants would die 226 years later</w:t>
      </w:r>
      <w:r w:rsidR="00466FF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in a battle against </w:t>
      </w:r>
      <w:r w:rsidR="00466FFC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Germany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For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Ulstermen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the history has made a circle. On the one side (as they believed) – 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t>P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rotestants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defending civilisation against barbaric invaders, on the other – 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>C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atholic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traitors </w:t>
      </w:r>
      <w:r w:rsidR="002E08EA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plo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>t</w:t>
      </w:r>
      <w:r w:rsidR="002E08EA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ting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rebellion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against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Mother Country. In the face of the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sacrifice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made by Ulstermen, Easter Rising was seen</w:t>
      </w:r>
      <w:r w:rsidR="002E08E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by the Protestants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as 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>the proverbial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>‘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stab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in the back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.’ The </w:t>
      </w:r>
      <w:r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fact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that it was the German enemy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who supplied the rebels contributed to deepening the divisions 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betwe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e</w:t>
      </w:r>
      <w:r w:rsidRPr="009D77E6">
        <w:rPr>
          <w:rFonts w:ascii="Times New Roman" w:hAnsi="Times New Roman" w:cs="Times New Roman"/>
          <w:noProof/>
          <w:sz w:val="24"/>
          <w:szCs w:val="24"/>
          <w:lang w:val="en-GB"/>
        </w:rPr>
        <w:t>n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R</w:t>
      </w:r>
      <w:r w:rsidR="001A7859"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epublicans</w:t>
      </w:r>
      <w:r w:rsid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U</w:t>
      </w:r>
      <w:r w:rsidR="001A7859"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nionists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:rsidR="001A7859" w:rsidRDefault="001A7859" w:rsidP="0038757C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Soon, as the war was over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Sinn Féin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worked hard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to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establish </w:t>
      </w:r>
      <w:r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>a</w:t>
      </w:r>
      <w:r w:rsidR="00D578F1">
        <w:rPr>
          <w:rFonts w:ascii="Times New Roman" w:hAnsi="Times New Roman" w:cs="Times New Roman"/>
          <w:noProof/>
          <w:sz w:val="24"/>
          <w:szCs w:val="24"/>
          <w:lang w:val="en-GB"/>
        </w:rPr>
        <w:t>n entire</w:t>
      </w:r>
      <w:r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>ly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independent</w:t>
      </w:r>
      <w:r w:rsidR="00504E1E">
        <w:rPr>
          <w:rFonts w:ascii="Times New Roman" w:hAnsi="Times New Roman" w:cs="Times New Roman"/>
          <w:noProof/>
          <w:sz w:val="24"/>
          <w:szCs w:val="24"/>
          <w:lang w:val="en-GB"/>
        </w:rPr>
        <w:t>, Irish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nation-state.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Un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li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ke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Poland and Czechoslovakia, Ireland was offered nothing more </w:t>
      </w:r>
      <w:r w:rsidR="00466FFC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than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Home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Rule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which now would </w:t>
      </w:r>
      <w:r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be implemented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as the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war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had ended. Britain’s unwillingness to grant Ireland </w:t>
      </w:r>
      <w:r w:rsidR="001278C1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1278C1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right of self-determination </w:t>
      </w:r>
      <w:r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esulted in a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guerilla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1278C1">
        <w:rPr>
          <w:rFonts w:ascii="Times New Roman" w:hAnsi="Times New Roman" w:cs="Times New Roman"/>
          <w:noProof/>
          <w:sz w:val="24"/>
          <w:szCs w:val="24"/>
          <w:lang w:val="en-GB"/>
        </w:rPr>
        <w:t>war of independence</w:t>
      </w:r>
      <w:r w:rsidR="001278C1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440233">
        <w:rPr>
          <w:rFonts w:ascii="Times New Roman" w:hAnsi="Times New Roman" w:cs="Times New Roman"/>
          <w:noProof/>
          <w:sz w:val="24"/>
          <w:szCs w:val="24"/>
          <w:lang w:val="en-GB"/>
        </w:rPr>
        <w:t>After nearly two and half a</w:t>
      </w:r>
      <w:r w:rsidR="00440233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year</w:t>
      </w:r>
      <w:r w:rsidR="00CD4180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of fightings</w:t>
      </w:r>
      <w:r w:rsidR="00440233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t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British authorities decided to make concessions to Ireland. An agreement establishing the Free Irish State was signed. The country </w:t>
      </w:r>
      <w:r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was divided</w:t>
      </w:r>
      <w:r w:rsidR="007E4D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between two warring parties</w:t>
      </w:r>
      <w:r w:rsidR="007E4D62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  <w:r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twenty-six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provi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n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ces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the South was granted Dominion status, whereas another six of North (Ulster)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remain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e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as an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integral part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United Kingdom,</w:t>
      </w:r>
      <w:r w:rsidR="0054185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being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who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lly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depend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e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nt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controlled by London. Such a course of action led to another conflict –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 civil</w:t>
      </w:r>
      <w:r w:rsidR="0054185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war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, which lasted for another ten months. Still, it did nothing</w:t>
      </w:r>
      <w:r w:rsidR="00A15DD7" w:rsidRPr="003875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more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but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constitu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t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to the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strengthening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the hostility between </w:t>
      </w:r>
      <w:r w:rsidR="00984355">
        <w:rPr>
          <w:rFonts w:ascii="Times New Roman" w:hAnsi="Times New Roman" w:cs="Times New Roman"/>
          <w:noProof/>
          <w:sz w:val="24"/>
          <w:szCs w:val="24"/>
          <w:lang w:val="en-GB"/>
        </w:rPr>
        <w:t>the two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sides. The final termination of ties with Great Britain and the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formal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creation of the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CD4180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sover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>e</w:t>
      </w:r>
      <w:r w:rsidR="00CD4180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ign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Republic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Ire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la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nd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followed in 1949.  Status of the Northern Ireland has remained 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bone of contention as the tensions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continued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through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out the rest of the twentieth century. ‘The Troubles’ – as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hi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 conflict </w:t>
      </w:r>
      <w:r w:rsidR="00B122F7">
        <w:rPr>
          <w:rFonts w:ascii="Times New Roman" w:hAnsi="Times New Roman" w:cs="Times New Roman"/>
          <w:noProof/>
          <w:sz w:val="24"/>
          <w:szCs w:val="24"/>
          <w:lang w:val="en-GB"/>
        </w:rPr>
        <w:t>between the Loyalists and R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epublicans </w:t>
      </w:r>
      <w:r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is commonly referred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to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–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remains a Gordian knot which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cost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lives of thousand people.</w:t>
      </w:r>
    </w:p>
    <w:p w:rsidR="009D77E6" w:rsidRDefault="001A7859" w:rsidP="0038757C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Unquesti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o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nably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Irish violent history of fighting for self-determination in the twentieth century proved to be exceptional </w:t>
      </w:r>
      <w:r w:rsidR="00B122F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as </w:t>
      </w:r>
      <w:r w:rsidR="00B122F7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com</w:t>
      </w:r>
      <w:r w:rsidR="00CD4180">
        <w:rPr>
          <w:rFonts w:ascii="Times New Roman" w:hAnsi="Times New Roman" w:cs="Times New Roman"/>
          <w:noProof/>
          <w:sz w:val="24"/>
          <w:szCs w:val="24"/>
          <w:lang w:val="en-GB"/>
        </w:rPr>
        <w:t>p</w:t>
      </w:r>
      <w:r w:rsidR="00B122F7"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ared</w:t>
      </w:r>
      <w:r w:rsidR="00B122F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to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Wales and Scotland. Nevertheless, the future of United Kingdom as a country of the dominating British sense of national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ident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ty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over the last decade has been hung in the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balance.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1997 marked the ceremony o</w:t>
      </w:r>
      <w:r w:rsidR="008C20DB">
        <w:rPr>
          <w:rFonts w:ascii="Times New Roman" w:hAnsi="Times New Roman" w:cs="Times New Roman"/>
          <w:sz w:val="24"/>
          <w:szCs w:val="24"/>
          <w:lang w:val="en-GB"/>
        </w:rPr>
        <w:t xml:space="preserve">f returning Hong-Kong to China </w:t>
      </w:r>
      <w:r w:rsidR="008C20DB">
        <w:rPr>
          <w:rFonts w:ascii="Times New Roman" w:hAnsi="Times New Roman" w:cs="Times New Roman"/>
          <w:noProof/>
          <w:sz w:val="24"/>
          <w:szCs w:val="24"/>
          <w:lang w:val="en-GB"/>
        </w:rPr>
        <w:t>–</w:t>
      </w:r>
      <w:r w:rsidR="008C20DB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event </w:t>
      </w:r>
      <w:r w:rsidRPr="00ED29D9">
        <w:rPr>
          <w:rFonts w:ascii="Times New Roman" w:hAnsi="Times New Roman" w:cs="Times New Roman"/>
          <w:noProof/>
          <w:sz w:val="24"/>
          <w:szCs w:val="24"/>
          <w:lang w:val="en-GB"/>
        </w:rPr>
        <w:t>referred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as a symbolic end of th</w:t>
      </w:r>
      <w:r w:rsidR="007266FD">
        <w:rPr>
          <w:rFonts w:ascii="Times New Roman" w:hAnsi="Times New Roman" w:cs="Times New Roman"/>
          <w:sz w:val="24"/>
          <w:szCs w:val="24"/>
          <w:lang w:val="en-GB"/>
        </w:rPr>
        <w:t>e British Empire. The same year</w:t>
      </w:r>
      <w:r w:rsidR="007266FD" w:rsidRPr="003875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both union members </w:t>
      </w:r>
      <w:r w:rsidRPr="001A7859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Wales and Scotland – were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granted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Home Rule. As for the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la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party of the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associat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 question of self-determination has been raised in recent 2014 referendum. Although the pragmatic ‘No’ side won the plebiscite, the results proved the sense of being </w:t>
      </w:r>
      <w:r w:rsidR="008C20DB">
        <w:rPr>
          <w:rFonts w:ascii="Times New Roman" w:hAnsi="Times New Roman" w:cs="Times New Roman"/>
          <w:sz w:val="24"/>
          <w:szCs w:val="24"/>
          <w:lang w:val="en-GB"/>
        </w:rPr>
        <w:t>Scottish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relatively high.</w:t>
      </w:r>
      <w:r w:rsidR="00AA5D52">
        <w:rPr>
          <w:rFonts w:ascii="Times New Roman" w:hAnsi="Times New Roman" w:cs="Times New Roman"/>
          <w:sz w:val="24"/>
          <w:szCs w:val="24"/>
          <w:lang w:val="en-GB"/>
        </w:rPr>
        <w:t xml:space="preserve"> The vote difference was hardly 10 </w:t>
      </w:r>
      <w:proofErr w:type="spellStart"/>
      <w:r w:rsidR="00AA5D52">
        <w:rPr>
          <w:rFonts w:ascii="Times New Roman" w:hAnsi="Times New Roman" w:cs="Times New Roman"/>
          <w:sz w:val="24"/>
          <w:szCs w:val="24"/>
          <w:lang w:val="en-GB"/>
        </w:rPr>
        <w:t>percent</w:t>
      </w:r>
      <w:proofErr w:type="spellEnd"/>
      <w:r w:rsidR="00AA5D52">
        <w:rPr>
          <w:rFonts w:ascii="Times New Roman" w:hAnsi="Times New Roman" w:cs="Times New Roman"/>
          <w:sz w:val="24"/>
          <w:szCs w:val="24"/>
          <w:lang w:val="en-GB"/>
        </w:rPr>
        <w:t xml:space="preserve"> points.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Furthermore, the recent political turbulences concerning</w:t>
      </w:r>
      <w:r w:rsidR="00AA5D52">
        <w:rPr>
          <w:rFonts w:ascii="Times New Roman" w:hAnsi="Times New Roman" w:cs="Times New Roman"/>
          <w:sz w:val="24"/>
          <w:szCs w:val="24"/>
          <w:lang w:val="en-GB"/>
        </w:rPr>
        <w:t xml:space="preserve"> 2016 </w:t>
      </w:r>
      <w:proofErr w:type="spellStart"/>
      <w:r w:rsidR="00AA5D52">
        <w:rPr>
          <w:rFonts w:ascii="Times New Roman" w:hAnsi="Times New Roman" w:cs="Times New Roman"/>
          <w:sz w:val="24"/>
          <w:szCs w:val="24"/>
          <w:lang w:val="en-GB"/>
        </w:rPr>
        <w:t>Brexit</w:t>
      </w:r>
      <w:proofErr w:type="spellEnd"/>
      <w:r w:rsidR="00AA5D52">
        <w:rPr>
          <w:rFonts w:ascii="Times New Roman" w:hAnsi="Times New Roman" w:cs="Times New Roman"/>
          <w:sz w:val="24"/>
          <w:szCs w:val="24"/>
          <w:lang w:val="en-GB"/>
        </w:rPr>
        <w:t xml:space="preserve"> referendum, e.g.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Br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itain'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or out of the European Union might alter not only the very future of the European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project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itself. At stake here is the preservation of the United Kingdom as a whole.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Scotland recently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n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nounced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a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diness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to hold another referendum if the British decide to vote </w:t>
      </w:r>
      <w:r w:rsidRPr="00CD4180">
        <w:rPr>
          <w:rFonts w:ascii="Times New Roman" w:hAnsi="Times New Roman" w:cs="Times New Roman"/>
          <w:noProof/>
          <w:sz w:val="24"/>
          <w:szCs w:val="24"/>
          <w:lang w:val="en-GB"/>
        </w:rPr>
        <w:t>in favour of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leaving the European Community. Thus, on the answer to the question of ‘to be, or not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to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be’ </w:t>
      </w:r>
      <w:r w:rsidRPr="00D578F1">
        <w:rPr>
          <w:rFonts w:ascii="Times New Roman" w:hAnsi="Times New Roman" w:cs="Times New Roman"/>
          <w:noProof/>
          <w:sz w:val="24"/>
          <w:szCs w:val="24"/>
          <w:lang w:val="en-GB"/>
        </w:rPr>
        <w:t>depends</w:t>
      </w:r>
      <w:r w:rsidR="00CC28A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not only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the future of United Kingdom but foremost the future of national identity, the future of the sense of 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bei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n</w:t>
      </w:r>
      <w:r w:rsidRPr="001A7859">
        <w:rPr>
          <w:rFonts w:ascii="Times New Roman" w:hAnsi="Times New Roman" w:cs="Times New Roman"/>
          <w:noProof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British.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71618893"/>
        <w:docPartObj>
          <w:docPartGallery w:val="Bibliographies"/>
          <w:docPartUnique/>
        </w:docPartObj>
      </w:sdtPr>
      <w:sdtEndPr/>
      <w:sdtContent>
        <w:p w:rsidR="0044529A" w:rsidRPr="0038757C" w:rsidRDefault="0044529A">
          <w:pPr>
            <w:pStyle w:val="Nagwek1"/>
            <w:rPr>
              <w:lang w:val="en-US"/>
            </w:rPr>
          </w:pPr>
          <w:r w:rsidRPr="005C703D">
            <w:rPr>
              <w:lang w:val="en-GB"/>
            </w:rPr>
            <w:t>Bibliography</w:t>
          </w:r>
        </w:p>
        <w:sdt>
          <w:sdtPr>
            <w:id w:val="111145805"/>
            <w:bibliography/>
          </w:sdtPr>
          <w:sdtEndPr/>
          <w:sdtContent>
            <w:p w:rsidR="00D570E1" w:rsidRDefault="0044529A" w:rsidP="00D570E1">
              <w:pPr>
                <w:pStyle w:val="Bibliografia"/>
                <w:ind w:left="720" w:hanging="720"/>
                <w:rPr>
                  <w:noProof/>
                  <w:sz w:val="24"/>
                  <w:szCs w:val="24"/>
                  <w:lang w:val="en-GB"/>
                </w:rPr>
              </w:pPr>
              <w:r>
                <w:fldChar w:fldCharType="begin"/>
              </w:r>
              <w:r w:rsidRPr="0038757C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 w:rsidR="00D570E1">
                <w:rPr>
                  <w:noProof/>
                  <w:lang w:val="en-GB"/>
                </w:rPr>
                <w:t xml:space="preserve">BBC News. (n.d.). </w:t>
              </w:r>
              <w:r w:rsidR="00D570E1">
                <w:rPr>
                  <w:i/>
                  <w:iCs/>
                  <w:noProof/>
                  <w:lang w:val="en-GB"/>
                </w:rPr>
                <w:t>Scottish independence referendum - Results</w:t>
              </w:r>
              <w:r w:rsidR="00D570E1">
                <w:rPr>
                  <w:noProof/>
                  <w:lang w:val="en-GB"/>
                </w:rPr>
                <w:t>. Retrieved May 9, 2016, from BBC News: http://www.bbc.com/news/events/scotland-decides/results</w:t>
              </w:r>
            </w:p>
            <w:p w:rsidR="00D570E1" w:rsidRDefault="00D570E1" w:rsidP="00D570E1">
              <w:pPr>
                <w:pStyle w:val="Bibliografia"/>
                <w:ind w:left="720" w:hanging="720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Bogdanor, V. (2001). </w:t>
              </w:r>
              <w:r>
                <w:rPr>
                  <w:i/>
                  <w:iCs/>
                  <w:noProof/>
                  <w:lang w:val="en-GB"/>
                </w:rPr>
                <w:t>Devolution in the United Kingdom.</w:t>
              </w:r>
              <w:r>
                <w:rPr>
                  <w:noProof/>
                  <w:lang w:val="en-GB"/>
                </w:rPr>
                <w:t xml:space="preserve"> Oxford: Oxford University Press.</w:t>
              </w:r>
            </w:p>
            <w:p w:rsidR="00D570E1" w:rsidRDefault="00D570E1" w:rsidP="00D570E1">
              <w:pPr>
                <w:pStyle w:val="Bibliografia"/>
                <w:ind w:left="720" w:hanging="720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Boland, V. (2016, February 20). </w:t>
              </w:r>
              <w:r>
                <w:rPr>
                  <w:i/>
                  <w:iCs/>
                  <w:noProof/>
                  <w:lang w:val="en-GB"/>
                </w:rPr>
                <w:t>Brexit: Northern Ireland and Scotland take opposing stances on EU</w:t>
              </w:r>
              <w:r>
                <w:rPr>
                  <w:noProof/>
                  <w:lang w:val="en-GB"/>
                </w:rPr>
                <w:t>. (V. Boland, Editor) Retrieved May 9, 2016, from Financial Times: http://www.ft.com/cms/s/0/416a0036-d7ff-11e5-98fd-06d75973fe09.html</w:t>
              </w:r>
            </w:p>
            <w:p w:rsidR="00D570E1" w:rsidRDefault="00D570E1" w:rsidP="00D570E1">
              <w:pPr>
                <w:pStyle w:val="Bibliografia"/>
                <w:ind w:left="720" w:hanging="720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Cenral Statistics Office. (n.d.). </w:t>
              </w:r>
              <w:r>
                <w:rPr>
                  <w:i/>
                  <w:iCs/>
                  <w:noProof/>
                  <w:lang w:val="en-GB"/>
                </w:rPr>
                <w:t>Introduction - CSO</w:t>
              </w:r>
              <w:r>
                <w:rPr>
                  <w:noProof/>
                  <w:lang w:val="en-GB"/>
                </w:rPr>
                <w:t>. Retrieved May 8, 2016, from Cenral Statistics Office: http://www.cso.ie/en/releasesandpublications/ep/p-1916/1916irl/cpr/intro/</w:t>
              </w:r>
            </w:p>
            <w:p w:rsidR="00D570E1" w:rsidRDefault="00D570E1" w:rsidP="00D570E1">
              <w:pPr>
                <w:pStyle w:val="Bibliografia"/>
                <w:ind w:left="720" w:hanging="720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Evans, J. (Producer), Reynolds, D. (Writer), &amp; Barnes, R. (Director). (2014). </w:t>
              </w:r>
              <w:r>
                <w:rPr>
                  <w:i/>
                  <w:iCs/>
                  <w:noProof/>
                  <w:lang w:val="en-GB"/>
                </w:rPr>
                <w:t>The Long Shadow - Us</w:t>
              </w:r>
              <w:r>
                <w:rPr>
                  <w:noProof/>
                  <w:lang w:val="en-GB"/>
                </w:rPr>
                <w:t xml:space="preserve"> [Motion Picture]. United Kingdom.</w:t>
              </w:r>
            </w:p>
            <w:p w:rsidR="00D570E1" w:rsidRDefault="00D570E1" w:rsidP="00D570E1">
              <w:pPr>
                <w:pStyle w:val="Bibliografia"/>
                <w:ind w:left="720" w:hanging="720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Lee, Y. (2012). </w:t>
              </w:r>
              <w:r>
                <w:rPr>
                  <w:i/>
                  <w:iCs/>
                  <w:noProof/>
                  <w:lang w:val="en-GB"/>
                </w:rPr>
                <w:t>Modern Education, Textbooks, and the Image of the Nation: Politics and Modernization and Nationalism in Korean Education: 1880-1910.</w:t>
              </w:r>
              <w:r>
                <w:rPr>
                  <w:noProof/>
                  <w:lang w:val="en-GB"/>
                </w:rPr>
                <w:t xml:space="preserve"> New York: Routledge.</w:t>
              </w:r>
            </w:p>
            <w:p w:rsidR="00D570E1" w:rsidRDefault="00D570E1" w:rsidP="00D570E1">
              <w:pPr>
                <w:pStyle w:val="Bibliografia"/>
                <w:ind w:left="720" w:hanging="720"/>
                <w:rPr>
                  <w:noProof/>
                  <w:lang w:val="en-GB"/>
                </w:rPr>
              </w:pPr>
              <w:r>
                <w:rPr>
                  <w:noProof/>
                  <w:lang w:val="en-GB"/>
                </w:rPr>
                <w:t xml:space="preserve">Reynolds, D. (2013). </w:t>
              </w:r>
              <w:r>
                <w:rPr>
                  <w:i/>
                  <w:iCs/>
                  <w:noProof/>
                  <w:lang w:val="en-GB"/>
                </w:rPr>
                <w:t>The Long Shadow: The Great War and the Twentieth Century.</w:t>
              </w:r>
              <w:r>
                <w:rPr>
                  <w:noProof/>
                  <w:lang w:val="en-GB"/>
                </w:rPr>
                <w:t xml:space="preserve"> Simon and Schuster.</w:t>
              </w:r>
            </w:p>
            <w:p w:rsidR="007D2570" w:rsidRDefault="0044529A" w:rsidP="00D570E1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  <w:p w:rsidR="00594A5E" w:rsidRPr="00D570E1" w:rsidRDefault="0038757C" w:rsidP="00D578F1">
              <w:pPr>
                <w:rPr>
                  <w:b/>
                  <w:bCs/>
                </w:rPr>
              </w:pPr>
            </w:p>
          </w:sdtContent>
        </w:sdt>
      </w:sdtContent>
    </w:sdt>
    <w:sectPr w:rsidR="00594A5E" w:rsidRPr="00D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E2" w:rsidRDefault="004F23E2" w:rsidP="008C20DB">
      <w:pPr>
        <w:spacing w:after="0" w:line="240" w:lineRule="auto"/>
      </w:pPr>
      <w:r>
        <w:separator/>
      </w:r>
    </w:p>
  </w:endnote>
  <w:endnote w:type="continuationSeparator" w:id="0">
    <w:p w:rsidR="004F23E2" w:rsidRDefault="004F23E2" w:rsidP="008C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E2" w:rsidRDefault="004F23E2" w:rsidP="008C20DB">
      <w:pPr>
        <w:spacing w:after="0" w:line="240" w:lineRule="auto"/>
      </w:pPr>
      <w:r>
        <w:separator/>
      </w:r>
    </w:p>
  </w:footnote>
  <w:footnote w:type="continuationSeparator" w:id="0">
    <w:p w:rsidR="004F23E2" w:rsidRDefault="004F23E2" w:rsidP="008C2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0tzQztzQwtzA2MjVW0lEKTi0uzszPAykwqQUA7rX5jywAAAA="/>
  </w:docVars>
  <w:rsids>
    <w:rsidRoot w:val="00C45A03"/>
    <w:rsid w:val="00023DB6"/>
    <w:rsid w:val="000D7ECA"/>
    <w:rsid w:val="00124C74"/>
    <w:rsid w:val="001278C1"/>
    <w:rsid w:val="00140640"/>
    <w:rsid w:val="001A7859"/>
    <w:rsid w:val="00205352"/>
    <w:rsid w:val="002265A5"/>
    <w:rsid w:val="00273153"/>
    <w:rsid w:val="00277E1D"/>
    <w:rsid w:val="0028672B"/>
    <w:rsid w:val="002E08EA"/>
    <w:rsid w:val="0038757C"/>
    <w:rsid w:val="003B2857"/>
    <w:rsid w:val="003C3B31"/>
    <w:rsid w:val="00440233"/>
    <w:rsid w:val="0044529A"/>
    <w:rsid w:val="00466FFC"/>
    <w:rsid w:val="004928EF"/>
    <w:rsid w:val="004A6935"/>
    <w:rsid w:val="004F05F5"/>
    <w:rsid w:val="004F23E2"/>
    <w:rsid w:val="00504E1E"/>
    <w:rsid w:val="0053558A"/>
    <w:rsid w:val="0054185A"/>
    <w:rsid w:val="00560FC7"/>
    <w:rsid w:val="00571C6E"/>
    <w:rsid w:val="00594A5E"/>
    <w:rsid w:val="005972DC"/>
    <w:rsid w:val="005B2EF7"/>
    <w:rsid w:val="005C703D"/>
    <w:rsid w:val="005E7EB8"/>
    <w:rsid w:val="00637FC8"/>
    <w:rsid w:val="006757A9"/>
    <w:rsid w:val="00685A4E"/>
    <w:rsid w:val="006B56C0"/>
    <w:rsid w:val="006E0612"/>
    <w:rsid w:val="006E2CD9"/>
    <w:rsid w:val="006E429D"/>
    <w:rsid w:val="0070048A"/>
    <w:rsid w:val="00702B5C"/>
    <w:rsid w:val="00705804"/>
    <w:rsid w:val="00705D27"/>
    <w:rsid w:val="007266FD"/>
    <w:rsid w:val="00740362"/>
    <w:rsid w:val="00741525"/>
    <w:rsid w:val="007724C1"/>
    <w:rsid w:val="007C5731"/>
    <w:rsid w:val="007D1D44"/>
    <w:rsid w:val="007D2570"/>
    <w:rsid w:val="007E4D62"/>
    <w:rsid w:val="00872E45"/>
    <w:rsid w:val="008C20DB"/>
    <w:rsid w:val="008C40F1"/>
    <w:rsid w:val="008D7562"/>
    <w:rsid w:val="00954236"/>
    <w:rsid w:val="00954DCF"/>
    <w:rsid w:val="00975DBA"/>
    <w:rsid w:val="00984355"/>
    <w:rsid w:val="009D77E6"/>
    <w:rsid w:val="00A15DD7"/>
    <w:rsid w:val="00A276EE"/>
    <w:rsid w:val="00AA5D52"/>
    <w:rsid w:val="00AC4B3C"/>
    <w:rsid w:val="00AD13A8"/>
    <w:rsid w:val="00AF5378"/>
    <w:rsid w:val="00B10F49"/>
    <w:rsid w:val="00B122F7"/>
    <w:rsid w:val="00BC2179"/>
    <w:rsid w:val="00BD06FA"/>
    <w:rsid w:val="00BD56FA"/>
    <w:rsid w:val="00BD5CC2"/>
    <w:rsid w:val="00BE2539"/>
    <w:rsid w:val="00C22394"/>
    <w:rsid w:val="00C45A03"/>
    <w:rsid w:val="00C872FC"/>
    <w:rsid w:val="00CB4637"/>
    <w:rsid w:val="00CC28AB"/>
    <w:rsid w:val="00CC5FAD"/>
    <w:rsid w:val="00CD31F1"/>
    <w:rsid w:val="00CD4180"/>
    <w:rsid w:val="00CF1B31"/>
    <w:rsid w:val="00CF457D"/>
    <w:rsid w:val="00D131EB"/>
    <w:rsid w:val="00D20E34"/>
    <w:rsid w:val="00D3294B"/>
    <w:rsid w:val="00D51A2B"/>
    <w:rsid w:val="00D570E1"/>
    <w:rsid w:val="00D578F1"/>
    <w:rsid w:val="00D9694C"/>
    <w:rsid w:val="00DA5DB8"/>
    <w:rsid w:val="00DD71DA"/>
    <w:rsid w:val="00DD78F9"/>
    <w:rsid w:val="00E76A38"/>
    <w:rsid w:val="00EB0E00"/>
    <w:rsid w:val="00ED29D9"/>
    <w:rsid w:val="00ED7597"/>
    <w:rsid w:val="00EF766B"/>
    <w:rsid w:val="00F10B98"/>
    <w:rsid w:val="00F51957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DB"/>
  </w:style>
  <w:style w:type="paragraph" w:styleId="Stopka">
    <w:name w:val="footer"/>
    <w:basedOn w:val="Normalny"/>
    <w:link w:val="StopkaZnak"/>
    <w:uiPriority w:val="99"/>
    <w:unhideWhenUsed/>
    <w:rsid w:val="008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DB"/>
  </w:style>
  <w:style w:type="character" w:customStyle="1" w:styleId="Nagwek1Znak">
    <w:name w:val="Nagłówek 1 Znak"/>
    <w:basedOn w:val="Domylnaczcionkaakapitu"/>
    <w:link w:val="Nagwek1"/>
    <w:uiPriority w:val="9"/>
    <w:rsid w:val="004452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44529A"/>
  </w:style>
  <w:style w:type="paragraph" w:styleId="Tekstdymka">
    <w:name w:val="Balloon Text"/>
    <w:basedOn w:val="Normalny"/>
    <w:link w:val="TekstdymkaZnak"/>
    <w:uiPriority w:val="99"/>
    <w:semiHidden/>
    <w:unhideWhenUsed/>
    <w:rsid w:val="0044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29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DB"/>
  </w:style>
  <w:style w:type="paragraph" w:styleId="Stopka">
    <w:name w:val="footer"/>
    <w:basedOn w:val="Normalny"/>
    <w:link w:val="StopkaZnak"/>
    <w:uiPriority w:val="99"/>
    <w:unhideWhenUsed/>
    <w:rsid w:val="008C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DB"/>
  </w:style>
  <w:style w:type="character" w:customStyle="1" w:styleId="Nagwek1Znak">
    <w:name w:val="Nagłówek 1 Znak"/>
    <w:basedOn w:val="Domylnaczcionkaakapitu"/>
    <w:link w:val="Nagwek1"/>
    <w:uiPriority w:val="9"/>
    <w:rsid w:val="004452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44529A"/>
  </w:style>
  <w:style w:type="paragraph" w:styleId="Tekstdymka">
    <w:name w:val="Balloon Text"/>
    <w:basedOn w:val="Normalny"/>
    <w:link w:val="TekstdymkaZnak"/>
    <w:uiPriority w:val="99"/>
    <w:semiHidden/>
    <w:unhideWhenUsed/>
    <w:rsid w:val="0044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29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Yoo12</b:Tag>
    <b:SourceType>Book</b:SourceType>
    <b:Guid>{14187E89-0BF3-4753-97D6-B01D2BDA5650}</b:Guid>
    <b:Title>Modern Education, Textbooks, and the Image of the Nation: Politics and Modernization and Nationalism in Korean Education: 1880-1910</b:Title>
    <b:Year>2012</b:Year>
    <b:City>New York</b:City>
    <b:Publisher>Routledge</b:Publisher>
    <b:LCID>en-GB</b:LCID>
    <b:Author>
      <b:Author>
        <b:NameList>
          <b:Person>
            <b:Last>Lee</b:Last>
            <b:First>Yoonmi</b:First>
          </b:Person>
        </b:NameList>
      </b:Author>
    </b:Author>
    <b:StandardNumber>ISBN 9781136600791</b:StandardNumber>
    <b:RefOrder>1</b:RefOrder>
  </b:Source>
  <b:Source>
    <b:Tag>Cennd</b:Tag>
    <b:SourceType>InternetSite</b:SourceType>
    <b:Guid>{23B6AE83-8A2C-4393-9E35-47B091AA56B8}</b:Guid>
    <b:Author>
      <b:Author>
        <b:Corporate>Cenral Statistics Office</b:Corporate>
      </b:Author>
    </b:Author>
    <b:Title>Introduction - CSO</b:Title>
    <b:InternetSiteTitle>Cenral Statistics Office</b:InternetSiteTitle>
    <b:Year>n.d.</b:Year>
    <b:URL>http://www.cso.ie/en/releasesandpublications/ep/p-1916/1916irl/cpr/intro/</b:URL>
    <b:LCID>en-GB</b:LCID>
    <b:YearAccessed>2016</b:YearAccessed>
    <b:MonthAccessed>May</b:MonthAccessed>
    <b:DayAccessed>8</b:DayAccessed>
    <b:RefOrder>2</b:RefOrder>
  </b:Source>
  <b:Source>
    <b:Tag>Rey13</b:Tag>
    <b:SourceType>Book</b:SourceType>
    <b:Guid>{3F2F6F9A-987C-453E-B844-F0FC0F9F0505}</b:Guid>
    <b:Title>The Long Shadow: The Great War and the Twentieth Century</b:Title>
    <b:Year>2013</b:Year>
    <b:Author>
      <b:Author>
        <b:NameList>
          <b:Person>
            <b:Last>Reynolds</b:Last>
            <b:First>David</b:First>
          </b:Person>
        </b:NameList>
      </b:Author>
    </b:Author>
    <b:Publisher>Simon and Schuster</b:Publisher>
    <b:LCID>en-GB</b:LCID>
    <b:StandardNumber>ISBN13: 9780857206350</b:StandardNumber>
    <b:RefOrder>3</b:RefOrder>
  </b:Source>
  <b:Source>
    <b:Tag>Dav14</b:Tag>
    <b:SourceType>Film</b:SourceType>
    <b:Guid>{28206A3A-6155-4144-81A1-17EBE4124C18}</b:Guid>
    <b:Title>The Long Shadow - Us</b:Title>
    <b:Year>2014</b:Year>
    <b:CountryRegion>United Kingdom</b:CountryRegion>
    <b:Author>
      <b:Performer>
        <b:NameList>
          <b:Person>
            <b:Last>Reynolds</b:Last>
            <b:First>David</b:First>
          </b:Person>
        </b:NameList>
      </b:Performer>
      <b:ProducerName>
        <b:NameList>
          <b:Person>
            <b:Last>Evans</b:Last>
            <b:First>James</b:First>
          </b:Person>
        </b:NameList>
      </b:ProducerName>
      <b:Director>
        <b:NameList>
          <b:Person>
            <b:Last>Barnes</b:Last>
            <b:First>Russel</b:First>
          </b:Person>
        </b:NameList>
      </b:Director>
      <b:Writer>
        <b:NameList>
          <b:Person>
            <b:Last>Reynolds</b:Last>
            <b:First>David</b:First>
          </b:Person>
        </b:NameList>
      </b:Writer>
    </b:Author>
    <b:RefOrder>4</b:RefOrder>
  </b:Source>
  <b:Source>
    <b:Tag>BBC16</b:Tag>
    <b:SourceType>InternetSite</b:SourceType>
    <b:Guid>{F9D78214-81FD-425B-892B-0BF2757017F5}</b:Guid>
    <b:Title>Scottish independence referendum - Results</b:Title>
    <b:InternetSiteTitle>BBC News</b:InternetSiteTitle>
    <b:URL>http://www.bbc.com/news/events/scotland-decides/results</b:URL>
    <b:LCID>en-GB</b:LCID>
    <b:Author>
      <b:Author>
        <b:Corporate>BBC News</b:Corporate>
      </b:Author>
    </b:Author>
    <b:YearAccessed>2016</b:YearAccessed>
    <b:MonthAccessed>May</b:MonthAccessed>
    <b:DayAccessed>9</b:DayAccessed>
    <b:RefOrder>5</b:RefOrder>
  </b:Source>
  <b:Source>
    <b:Tag>Bol16</b:Tag>
    <b:SourceType>InternetSite</b:SourceType>
    <b:Guid>{33B1406F-23B8-442C-893F-664B3FD02D94}</b:Guid>
    <b:Author>
      <b:Author>
        <b:NameList>
          <b:Person>
            <b:Last>Boland</b:Last>
            <b:First>Vincent</b:First>
          </b:Person>
        </b:NameList>
      </b:Author>
      <b:Editor>
        <b:NameList>
          <b:Person>
            <b:Last>Boland</b:Last>
            <b:First>Vincent</b:First>
          </b:Person>
        </b:NameList>
      </b:Editor>
    </b:Author>
    <b:Title>Brexit: Northern Ireland and Scotland take opposing stances on EU</b:Title>
    <b:InternetSiteTitle>Financial Times</b:InternetSiteTitle>
    <b:Year>2016</b:Year>
    <b:Month>February</b:Month>
    <b:Day>20</b:Day>
    <b:URL>http://www.ft.com/cms/s/0/416a0036-d7ff-11e5-98fd-06d75973fe09.html</b:URL>
    <b:LCID>en-GB</b:LCID>
    <b:YearAccessed>2016</b:YearAccessed>
    <b:MonthAccessed>May</b:MonthAccessed>
    <b:DayAccessed>9</b:DayAccessed>
    <b:RefOrder>6</b:RefOrder>
  </b:Source>
  <b:Source>
    <b:Tag>Ver01</b:Tag>
    <b:SourceType>Book</b:SourceType>
    <b:Guid>{E44011C8-9E23-466E-9EF3-BE063AA6C595}</b:Guid>
    <b:Author>
      <b:Author>
        <b:NameList>
          <b:Person>
            <b:Last>Bogdanor</b:Last>
            <b:First>Vernon</b:First>
          </b:Person>
        </b:NameList>
      </b:Author>
    </b:Author>
    <b:Title>Devolution in the United Kingdom</b:Title>
    <b:Year>2001</b:Year>
    <b:Publisher>Oxford University Press</b:Publisher>
    <b:City>Oxford</b:City>
    <b:LCID>en-GB</b:LCID>
    <b:RefOrder>7</b:RefOrder>
  </b:Source>
</b:Sources>
</file>

<file path=customXml/itemProps1.xml><?xml version="1.0" encoding="utf-8"?>
<ds:datastoreItem xmlns:ds="http://schemas.openxmlformats.org/officeDocument/2006/customXml" ds:itemID="{544942BB-BDC9-4441-A11E-73972088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Zaręba</dc:creator>
  <cp:keywords/>
  <dc:description/>
  <cp:lastModifiedBy>JP</cp:lastModifiedBy>
  <cp:revision>30</cp:revision>
  <dcterms:created xsi:type="dcterms:W3CDTF">2016-05-09T13:40:00Z</dcterms:created>
  <dcterms:modified xsi:type="dcterms:W3CDTF">2016-11-04T15:22:00Z</dcterms:modified>
</cp:coreProperties>
</file>